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44" w:rsidRPr="00201744" w:rsidRDefault="002C2914" w:rsidP="001112E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112E2" w:rsidRPr="00201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01744" w:rsidRPr="00201744">
        <w:rPr>
          <w:rFonts w:ascii="Times New Roman" w:hAnsi="Times New Roman" w:cs="Times New Roman"/>
          <w:b/>
          <w:sz w:val="28"/>
          <w:szCs w:val="28"/>
          <w:lang w:val="uk-UA"/>
        </w:rPr>
        <w:t>Письмовий змагальний процес у Європейському суді з прав  людини</w:t>
      </w:r>
    </w:p>
    <w:p w:rsidR="004F4857" w:rsidRDefault="0020174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 xml:space="preserve">Письмовий змагальний процес у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4F48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 xml:space="preserve">суді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 xml:space="preserve">з прав </w:t>
      </w:r>
      <w:r w:rsidR="002C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 xml:space="preserve">людини (далі - Суд) 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 xml:space="preserve">має свої особливості, визначені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>Регламентом Суду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 xml:space="preserve">. Змагальні папери мають бути подані до канцелярії Суду у межах строку та з </w:t>
      </w:r>
      <w:r w:rsidR="006631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>отриманням певних вимог.</w:t>
      </w:r>
    </w:p>
    <w:p w:rsidR="00250F1C" w:rsidRDefault="005439A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112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>Дата надходження змагальних паперів чи інших документів до канцелярії Суду фіксується на них штампом для реєстрації вхідних документів.</w:t>
      </w:r>
      <w:bookmarkStart w:id="0" w:name="_GoBack"/>
      <w:bookmarkEnd w:id="0"/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Усі змагальні папери, а також усі додані до них документи мають подаватися в трьох примірниках, які надсилаються до канцелярії Суду поштою, і один, за можливості, факсом.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Таємні документи мають надсилатися рекомендованим листом.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Змагальні папери, подані без запиту з канцелярії, до матеріалів справи не долучаються, за винятком випадків, коли голова палати вирішує інакше.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Сторона має право подати до Суду змагальні папери чи інші документи, відправивши їх факсимільним зв’язком (факсом). Прізвище особи, яка підписала змагальні папери, вдрукову</w:t>
      </w:r>
      <w:r w:rsidR="00F5296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на них для ідентифікації.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 змагальному папері має бути зазначено: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номер заяви і назва справи;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назва, що відображає характер змісту паперу (наприклад: зауваження щодо прийнятності (та суті справи); відповідь на зауваження Уряду/заявника стосовно прийнятності (та суті справи); додаткові зауваження щодо прийнятності (та суті справи); меморандум тощо).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Крім того, змагальний папір, як правило, має бути: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виконаний на аркуші розміром А4 з полями, не менше ніж 3,5 см;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написаний розбірливо і, бажано, поданий у друкованій формі;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усіма числовими виразами, наведеними у вигляді цифр;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послідовно пронумерованими сторінками;</w:t>
      </w:r>
    </w:p>
    <w:p w:rsidR="009911F4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має бути поділений на розділи та/або містити підзаголовки відповідно до форми і стилю ухвал і рішень Суду («Щодо фактів» / «Національне право (та практика)» / «Оскарження» / «Щодо права»</w:t>
      </w:r>
      <w:r w:rsidR="004B1BD2">
        <w:rPr>
          <w:rFonts w:ascii="Times New Roman" w:hAnsi="Times New Roman" w:cs="Times New Roman"/>
          <w:sz w:val="28"/>
          <w:szCs w:val="28"/>
          <w:lang w:val="uk-UA"/>
        </w:rPr>
        <w:t>; далі, якщо цього потребують обставини, мають іти розділи «Попереднє заперечення щодо …»; «</w:t>
      </w:r>
      <w:proofErr w:type="spellStart"/>
      <w:r w:rsidR="004B1BD2">
        <w:rPr>
          <w:rFonts w:ascii="Times New Roman" w:hAnsi="Times New Roman" w:cs="Times New Roman"/>
          <w:sz w:val="28"/>
          <w:szCs w:val="28"/>
          <w:lang w:val="uk-UA"/>
        </w:rPr>
        <w:t>Стверджуване</w:t>
      </w:r>
      <w:proofErr w:type="spellEnd"/>
      <w:r w:rsidR="004B1BD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статті…», якщо таке є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1B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має містити окремий розділ з відповіддю на запитання, поставлене Судом, чи на аргументи іншої сторони;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має містити посилання на кожний документ або доказ, згадуваний у змагальному папері чи долучений до нього.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Якщо обсяг змагального паперу перевищує 30 сторінок, разом з ним має також подаватися стислий виклад його змісту. Якщо разом із змагальними паперами сторона подає документ та/або інші речові докази, кожний такий доказ має міститися в переліку, що додається окремо.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Змагальний папір сторони, поданий після повідомлення про надходження заяви, має містити: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будь-які зауваження, які сторона бажає зробити стосовно фактів справи, однак: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сторона не оспорює факти, наведені у підготовленому канцелярією викладі обставин справи, вона повинна обмежитися короткою констатацією такої своєї позиції;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сторона оспорює лише частину фактів,</w:t>
      </w:r>
      <w:r w:rsidR="00F52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викладених канцелярією,</w:t>
      </w:r>
      <w:r w:rsidR="00F52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 бажає доповнити їх, вона повинна обмежитися викладом зауважень стосовно таких конкретних фактів;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сторона заперечує згадані факти або частину фактів, наведених іншою стороною, вона повинна чітко зазначити, які факти вона не оспорює, і обмежитися зауваженнями стосовно оспорюваних нею фактів;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правові аргументи, які стосуються, по-перше, питання прийнятності і, по-друге, суті справи; однак: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стороні поставлено конкретні запитання стосовно фактичного чи правового аспекту справи, ця сторона повинна обмежитися своїми аргументами у відповіді на такі запитання;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у змагальному папері міститься відповідь на аргументи іншої сторони, такі доводи мають адресуватися у відповідь на конкретні аргументи і наводитися в порядку, встановленому вище.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Змагальний папір сторони,</w:t>
      </w:r>
      <w:r w:rsidR="00F52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поданий після прийняття заяви, має містити: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коротко сформульовану позицію сторони стосовно фактів справи, у вигляді, в якому їх викладено в ухвалі щодо прийнятності заяви;</w:t>
      </w:r>
    </w:p>
    <w:p w:rsidR="004B1BD2" w:rsidRDefault="004B1BD2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правові аргументи по суті справи;</w:t>
      </w:r>
    </w:p>
    <w:p w:rsidR="004B1BD2" w:rsidRDefault="00443426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відповіді на конкретні запитання, поставлені Судом стосовно фактичних чи правових аспектів справи.</w:t>
      </w:r>
    </w:p>
    <w:p w:rsidR="00443426" w:rsidRDefault="00443426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Кожна сторона повинна подбати про те, щоб змагальні папери та будь-які супровідні документи чи докази вчасно надійшли до канцелярії Суду.</w:t>
      </w:r>
    </w:p>
    <w:p w:rsidR="009911F4" w:rsidRDefault="00443426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прохання сторони, строк, встановлений для подання змагальних документів, може бути продовжено. Відповідно сторона повинна подати прохання про продовження строку одразу після того, як їй стали відомі обставини,</w:t>
      </w:r>
      <w:r w:rsidR="00F52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є підставою для такого продовження. У разі задоволення прохання рішення про продовження строку чинне для всіх сторін, для яких спливає строк,</w:t>
      </w:r>
      <w:r w:rsidR="00F52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включаючи ті сторони, які не зверталися з таким проханням.</w:t>
      </w:r>
    </w:p>
    <w:p w:rsidR="00B40F3C" w:rsidRDefault="00443426" w:rsidP="0044342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Якщо сторона не подала змагальних паперів згідно з вимогами, голова палати може повторно зажадати від такої сторони змагальних паперів на дотримання цих вимог. Невиконання зазначених умов може призвести до того, що змагальні папери вважатимуться поданими з порушенням встановленого для цього порядку.</w:t>
      </w:r>
      <w:r w:rsidR="004F485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112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4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F3C" w:rsidRPr="00B40F3C" w:rsidRDefault="00B40F3C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AA0B26" w:rsidRPr="00117CA0" w:rsidRDefault="00AA0B26" w:rsidP="00056EA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ABD" w:rsidRPr="00056EA1" w:rsidRDefault="00A54ABD" w:rsidP="00A54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EA1">
        <w:rPr>
          <w:rFonts w:ascii="Times New Roman" w:hAnsi="Times New Roman" w:cs="Times New Roman"/>
          <w:b/>
          <w:sz w:val="28"/>
          <w:szCs w:val="28"/>
          <w:lang w:val="uk-UA"/>
        </w:rPr>
        <w:t>Провідний спеціаліст сектору з питань</w:t>
      </w:r>
    </w:p>
    <w:p w:rsidR="00A54ABD" w:rsidRPr="00056EA1" w:rsidRDefault="00A54ABD" w:rsidP="00A54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EA1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</w:t>
      </w:r>
    </w:p>
    <w:p w:rsidR="00A54ABD" w:rsidRPr="00056EA1" w:rsidRDefault="00A54ABD" w:rsidP="00A54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Уповноваженого у справах </w:t>
      </w:r>
    </w:p>
    <w:p w:rsidR="00A54ABD" w:rsidRPr="00056EA1" w:rsidRDefault="00A54ABD" w:rsidP="00A54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EA1">
        <w:rPr>
          <w:rFonts w:ascii="Times New Roman" w:hAnsi="Times New Roman" w:cs="Times New Roman"/>
          <w:b/>
          <w:sz w:val="28"/>
          <w:szCs w:val="28"/>
          <w:lang w:val="uk-UA"/>
        </w:rPr>
        <w:t>Європейського суду з прав людини</w:t>
      </w:r>
    </w:p>
    <w:p w:rsidR="00A54ABD" w:rsidRPr="00056EA1" w:rsidRDefault="00A54ABD" w:rsidP="00A54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EA1">
        <w:rPr>
          <w:rFonts w:ascii="Times New Roman" w:hAnsi="Times New Roman" w:cs="Times New Roman"/>
          <w:b/>
          <w:sz w:val="28"/>
          <w:szCs w:val="28"/>
          <w:lang w:val="uk-UA"/>
        </w:rPr>
        <w:t>Головного територіального управління</w:t>
      </w:r>
    </w:p>
    <w:p w:rsidR="002C2914" w:rsidRPr="002C2914" w:rsidRDefault="00A54ABD" w:rsidP="00C7271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EA1">
        <w:rPr>
          <w:rFonts w:ascii="Times New Roman" w:hAnsi="Times New Roman" w:cs="Times New Roman"/>
          <w:b/>
          <w:sz w:val="28"/>
          <w:szCs w:val="28"/>
          <w:lang w:val="uk-UA"/>
        </w:rPr>
        <w:t>юстиції у Запорізькій області                                                А.І.</w:t>
      </w:r>
      <w:proofErr w:type="spellStart"/>
      <w:r w:rsidRPr="00056EA1">
        <w:rPr>
          <w:rFonts w:ascii="Times New Roman" w:hAnsi="Times New Roman" w:cs="Times New Roman"/>
          <w:b/>
          <w:sz w:val="28"/>
          <w:szCs w:val="28"/>
          <w:lang w:val="uk-UA"/>
        </w:rPr>
        <w:t>Кусій</w:t>
      </w:r>
      <w:proofErr w:type="spellEnd"/>
    </w:p>
    <w:sectPr w:rsidR="002C2914" w:rsidRPr="002C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49"/>
    <w:rsid w:val="00021B56"/>
    <w:rsid w:val="00035419"/>
    <w:rsid w:val="00056EA1"/>
    <w:rsid w:val="000D15AE"/>
    <w:rsid w:val="001112E2"/>
    <w:rsid w:val="00112872"/>
    <w:rsid w:val="00117CA0"/>
    <w:rsid w:val="00151821"/>
    <w:rsid w:val="001C4459"/>
    <w:rsid w:val="001D390C"/>
    <w:rsid w:val="00201744"/>
    <w:rsid w:val="0022374B"/>
    <w:rsid w:val="00250F1C"/>
    <w:rsid w:val="002C0428"/>
    <w:rsid w:val="002C2914"/>
    <w:rsid w:val="002D3D61"/>
    <w:rsid w:val="00443426"/>
    <w:rsid w:val="004A0A78"/>
    <w:rsid w:val="004B1BD2"/>
    <w:rsid w:val="004B2049"/>
    <w:rsid w:val="004C068D"/>
    <w:rsid w:val="004C23BC"/>
    <w:rsid w:val="004F0C83"/>
    <w:rsid w:val="004F4857"/>
    <w:rsid w:val="00535242"/>
    <w:rsid w:val="005439A4"/>
    <w:rsid w:val="005D76FE"/>
    <w:rsid w:val="00604B67"/>
    <w:rsid w:val="0065504B"/>
    <w:rsid w:val="006631E1"/>
    <w:rsid w:val="006E5718"/>
    <w:rsid w:val="00757C7E"/>
    <w:rsid w:val="00781404"/>
    <w:rsid w:val="007875D8"/>
    <w:rsid w:val="00791B94"/>
    <w:rsid w:val="00794287"/>
    <w:rsid w:val="007E325F"/>
    <w:rsid w:val="00872EB4"/>
    <w:rsid w:val="00982622"/>
    <w:rsid w:val="009911F4"/>
    <w:rsid w:val="009B6FA5"/>
    <w:rsid w:val="00A54ABD"/>
    <w:rsid w:val="00A64C0D"/>
    <w:rsid w:val="00A71BF1"/>
    <w:rsid w:val="00AA0B26"/>
    <w:rsid w:val="00AA6F97"/>
    <w:rsid w:val="00B12736"/>
    <w:rsid w:val="00B344A2"/>
    <w:rsid w:val="00B40F3C"/>
    <w:rsid w:val="00B65354"/>
    <w:rsid w:val="00C61434"/>
    <w:rsid w:val="00C72712"/>
    <w:rsid w:val="00D44746"/>
    <w:rsid w:val="00D562D9"/>
    <w:rsid w:val="00E41C3F"/>
    <w:rsid w:val="00F52960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5E25-3DF4-4CEF-904F-AF269D46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2019-10-08T07:17:00Z</cp:lastPrinted>
  <dcterms:created xsi:type="dcterms:W3CDTF">2019-10-09T06:10:00Z</dcterms:created>
  <dcterms:modified xsi:type="dcterms:W3CDTF">2019-10-09T06:10:00Z</dcterms:modified>
</cp:coreProperties>
</file>